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315630</w:t>
      </w:r>
      <w:bookmarkStart w:id="7" w:name="_GoBack"/>
      <w:bookmarkEnd w:id="7"/>
    </w:p>
    <w:p>
      <w:pPr>
        <w:pStyle w:val="73"/>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UE capability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5.4.2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revised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and BS</w:t>
      </w:r>
      <w:r>
        <w:rPr>
          <w:rFonts w:hint="eastAsia"/>
          <w:i w:val="0"/>
          <w:iCs w:val="0"/>
          <w:sz w:val="20"/>
          <w:szCs w:val="20"/>
          <w:lang w:val="en-US" w:eastAsia="zh-CN"/>
        </w:rPr>
        <w:t xml:space="preserve"> 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textAlignment w:val="baseline"/>
            </w:pPr>
            <w:r>
              <w:t>The objectives of the work item are the following:</w:t>
            </w:r>
          </w:p>
          <w:p>
            <w:pPr>
              <w:numPr>
                <w:ilvl w:val="0"/>
                <w:numId w:val="8"/>
              </w:numPr>
              <w:overflowPunct w:val="0"/>
              <w:autoSpaceDE w:val="0"/>
              <w:autoSpaceDN w:val="0"/>
              <w:adjustRightInd w:val="0"/>
              <w:spacing w:after="180"/>
              <w:textAlignment w:val="baseline"/>
            </w:pPr>
            <w: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pPr>
            <w:r>
              <w:t>Changes to BS channel raster can be considered if required [RAN4].</w:t>
            </w:r>
          </w:p>
          <w:p>
            <w:pPr>
              <w:numPr>
                <w:ilvl w:val="0"/>
                <w:numId w:val="10"/>
              </w:numPr>
              <w:overflowPunct w:val="0"/>
              <w:autoSpaceDE w:val="0"/>
              <w:autoSpaceDN w:val="0"/>
              <w:adjustRightInd w:val="0"/>
              <w:spacing w:after="180"/>
              <w:textAlignment w:val="baseline"/>
            </w:pPr>
            <w: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pPr>
            <w:r>
              <w:t>RAN4 is to identify the release(s) of the core specifications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rPr>
              <w:t>NOTE: Changes to channel raster need to be compliant with the definition of global channel raster in RAN4 specification.</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0"/>
                <w:numId w:val="12"/>
              </w:numPr>
              <w:overflowPunct w:val="0"/>
              <w:autoSpaceDE w:val="0"/>
              <w:autoSpaceDN w:val="0"/>
              <w:adjustRightInd w:val="0"/>
              <w:spacing w:after="180"/>
              <w:textAlignment w:val="baseline"/>
              <w:rPr>
                <w:sz w:val="20"/>
                <w:szCs w:val="20"/>
              </w:rPr>
            </w:pPr>
            <w:bookmarkStart w:id="2" w:name="OLE_LINK50"/>
            <w:bookmarkStart w:id="3" w:name="OLE_LINK23"/>
            <w:bookmarkStart w:id="4" w:name="OLE_LINK66"/>
            <w:r>
              <w:rPr>
                <w:sz w:val="20"/>
                <w:szCs w:val="20"/>
              </w:rPr>
              <w:t>Approaches / Alternatives</w:t>
            </w:r>
          </w:p>
          <w:p>
            <w:pPr>
              <w:overflowPunct w:val="0"/>
              <w:autoSpaceDE w:val="0"/>
              <w:autoSpaceDN w:val="0"/>
              <w:adjustRightInd w:val="0"/>
              <w:spacing w:after="180"/>
              <w:ind w:left="426"/>
              <w:textAlignment w:val="baseline"/>
              <w:rPr>
                <w:iCs/>
                <w:sz w:val="20"/>
                <w:szCs w:val="20"/>
              </w:rPr>
            </w:pPr>
            <w:r>
              <w:rPr>
                <w:iCs/>
                <w:sz w:val="20"/>
                <w:szCs w:val="20"/>
              </w:rPr>
              <w:t xml:space="preserve">One of the following approaches/alternatives to be chosen: </w:t>
            </w:r>
          </w:p>
          <w:p>
            <w:pPr>
              <w:pStyle w:val="34"/>
              <w:numPr>
                <w:ilvl w:val="1"/>
                <w:numId w:val="13"/>
              </w:numPr>
              <w:overflowPunct w:val="0"/>
              <w:autoSpaceDE w:val="0"/>
              <w:autoSpaceDN w:val="0"/>
              <w:adjustRightInd w:val="0"/>
              <w:spacing w:after="120"/>
              <w:ind w:left="1440" w:firstLineChars="0"/>
              <w:textAlignment w:val="baseline"/>
              <w:rPr>
                <w:sz w:val="20"/>
                <w:szCs w:val="20"/>
                <w:lang w:eastAsia="zh-CN"/>
              </w:rPr>
            </w:pPr>
            <w:r>
              <w:rPr>
                <w:iCs/>
                <w:sz w:val="20"/>
                <w:szCs w:val="20"/>
              </w:rPr>
              <w:t>Approach 1: Specify a new channel raster</w:t>
            </w:r>
          </w:p>
          <w:p>
            <w:pPr>
              <w:overflowPunct w:val="0"/>
              <w:autoSpaceDE w:val="0"/>
              <w:autoSpaceDN w:val="0"/>
              <w:adjustRightInd w:val="0"/>
              <w:spacing w:after="120"/>
              <w:ind w:left="1020" w:firstLine="420"/>
              <w:textAlignment w:val="baseline"/>
              <w:rPr>
                <w:iCs/>
                <w:sz w:val="20"/>
                <w:szCs w:val="20"/>
              </w:rPr>
            </w:pPr>
            <w:r>
              <w:rPr>
                <w:iCs/>
                <w:sz w:val="20"/>
                <w:szCs w:val="20"/>
              </w:rPr>
              <w:t>The new channel raster step size: 10 kHz</w:t>
            </w:r>
          </w:p>
          <w:p>
            <w:pPr>
              <w:overflowPunct w:val="0"/>
              <w:autoSpaceDE w:val="0"/>
              <w:autoSpaceDN w:val="0"/>
              <w:adjustRightInd w:val="0"/>
              <w:spacing w:after="120"/>
              <w:ind w:left="1020" w:firstLine="420"/>
              <w:textAlignment w:val="baseline"/>
              <w:rPr>
                <w:iCs/>
                <w:sz w:val="20"/>
                <w:szCs w:val="20"/>
              </w:rPr>
            </w:pPr>
          </w:p>
          <w:p>
            <w:pPr>
              <w:pStyle w:val="34"/>
              <w:numPr>
                <w:ilvl w:val="1"/>
                <w:numId w:val="13"/>
              </w:numPr>
              <w:overflowPunct w:val="0"/>
              <w:autoSpaceDE w:val="0"/>
              <w:autoSpaceDN w:val="0"/>
              <w:adjustRightInd w:val="0"/>
              <w:spacing w:after="120"/>
              <w:ind w:left="1440" w:firstLineChars="0"/>
              <w:textAlignment w:val="baseline"/>
              <w:rPr>
                <w:sz w:val="20"/>
                <w:szCs w:val="20"/>
                <w:lang w:eastAsia="zh-CN"/>
              </w:rPr>
            </w:pPr>
            <w:r>
              <w:rPr>
                <w:iCs/>
                <w:sz w:val="20"/>
                <w:szCs w:val="20"/>
              </w:rPr>
              <w:t xml:space="preserve">Approach 2: Do not specify new channel raster entries </w:t>
            </w:r>
          </w:p>
          <w:p>
            <w:pPr>
              <w:pStyle w:val="34"/>
              <w:numPr>
                <w:ilvl w:val="2"/>
                <w:numId w:val="13"/>
              </w:numPr>
              <w:overflowPunct w:val="0"/>
              <w:autoSpaceDE w:val="0"/>
              <w:autoSpaceDN w:val="0"/>
              <w:adjustRightInd w:val="0"/>
              <w:spacing w:after="120"/>
              <w:ind w:firstLineChars="0"/>
              <w:textAlignment w:val="baseline"/>
              <w:rPr>
                <w:sz w:val="20"/>
                <w:szCs w:val="20"/>
                <w:lang w:eastAsia="zh-CN"/>
              </w:rPr>
            </w:pPr>
            <w:r>
              <w:rPr>
                <w:iCs/>
                <w:sz w:val="20"/>
                <w:szCs w:val="20"/>
              </w:rPr>
              <w:t>Alternative 1</w:t>
            </w:r>
          </w:p>
          <w:p>
            <w:pPr>
              <w:pStyle w:val="34"/>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Clarify in clause 5.4.2.2 of both the BS and UE specifications that the “RF channel” is mapped to the channel raster at the centre of a carrier grid of a serving cell for at least one numerology as advertised in SIB1.</w:t>
            </w:r>
          </w:p>
          <w:p>
            <w:pPr>
              <w:pStyle w:val="34"/>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pPr>
              <w:pStyle w:val="34"/>
              <w:numPr>
                <w:ilvl w:val="2"/>
                <w:numId w:val="13"/>
              </w:numPr>
              <w:overflowPunct w:val="0"/>
              <w:autoSpaceDE w:val="0"/>
              <w:autoSpaceDN w:val="0"/>
              <w:adjustRightInd w:val="0"/>
              <w:spacing w:after="120"/>
              <w:ind w:firstLineChars="0"/>
              <w:textAlignment w:val="baseline"/>
              <w:rPr>
                <w:iCs/>
                <w:sz w:val="20"/>
                <w:szCs w:val="20"/>
              </w:rPr>
            </w:pPr>
            <w:r>
              <w:rPr>
                <w:iCs/>
                <w:sz w:val="20"/>
                <w:szCs w:val="20"/>
              </w:rPr>
              <w:t xml:space="preserve">Alternative 3: </w:t>
            </w:r>
          </w:p>
          <w:p>
            <w:pPr>
              <w:pStyle w:val="34"/>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 xml:space="preserve">For operating bands with a 100 kHz channel raster, the UE can signal a capability to support a UE specific channel BW that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consists of a contiguous subset of RBs from SCS-SpecificCarrier in SIB1 and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is a maximum transmission BW configuration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but need not be centered on the channel raster.</w:t>
            </w:r>
          </w:p>
          <w:p>
            <w:pPr>
              <w:pStyle w:val="34"/>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overflowPunct w:val="0"/>
              <w:autoSpaceDE w:val="0"/>
              <w:autoSpaceDN w:val="0"/>
              <w:adjustRightInd w:val="0"/>
              <w:spacing w:after="180"/>
              <w:ind w:left="426" w:hanging="6"/>
              <w:textAlignment w:val="baseline"/>
              <w:rPr>
                <w:iCs/>
                <w:sz w:val="20"/>
                <w:szCs w:val="20"/>
              </w:rPr>
            </w:pPr>
          </w:p>
          <w:p>
            <w:pPr>
              <w:pStyle w:val="4"/>
              <w:numPr>
                <w:ilvl w:val="0"/>
                <w:numId w:val="12"/>
              </w:numPr>
              <w:overflowPunct w:val="0"/>
              <w:autoSpaceDE w:val="0"/>
              <w:autoSpaceDN w:val="0"/>
              <w:adjustRightInd w:val="0"/>
              <w:spacing w:after="180"/>
              <w:ind w:left="812"/>
              <w:textAlignment w:val="baseline"/>
              <w:rPr>
                <w:iCs/>
                <w:sz w:val="20"/>
                <w:szCs w:val="20"/>
              </w:rPr>
            </w:pPr>
            <w:r>
              <w:rPr>
                <w:iCs/>
                <w:sz w:val="20"/>
                <w:szCs w:val="20"/>
              </w:rPr>
              <w:t>Way forward</w:t>
            </w:r>
          </w:p>
          <w:p>
            <w:pPr>
              <w:overflowPunct w:val="0"/>
              <w:autoSpaceDE w:val="0"/>
              <w:autoSpaceDN w:val="0"/>
              <w:adjustRightInd w:val="0"/>
              <w:spacing w:after="180"/>
              <w:ind w:left="426"/>
              <w:textAlignment w:val="baseline"/>
              <w:rPr>
                <w:iCs/>
                <w:sz w:val="20"/>
                <w:szCs w:val="20"/>
              </w:rPr>
            </w:pPr>
            <w:r>
              <w:rPr>
                <w:iCs/>
                <w:sz w:val="20"/>
                <w:szCs w:val="20"/>
              </w:rPr>
              <w:t>For the next meeting, companies are encouraged to comment on open issues and/or to detail the expected specification updates of their preferred approach.</w:t>
            </w:r>
          </w:p>
          <w:p>
            <w:pPr>
              <w:overflowPunct w:val="0"/>
              <w:autoSpaceDE w:val="0"/>
              <w:autoSpaceDN w:val="0"/>
              <w:adjustRightInd w:val="0"/>
              <w:spacing w:after="180"/>
              <w:textAlignment w:val="baseline"/>
              <w:rPr>
                <w:b/>
                <w:bCs/>
                <w:iCs/>
                <w:sz w:val="20"/>
                <w:szCs w:val="20"/>
              </w:rPr>
            </w:pPr>
          </w:p>
          <w:p>
            <w:pPr>
              <w:overflowPunct w:val="0"/>
              <w:autoSpaceDE w:val="0"/>
              <w:autoSpaceDN w:val="0"/>
              <w:adjustRightInd w:val="0"/>
              <w:spacing w:after="180"/>
              <w:textAlignment w:val="baseline"/>
              <w:rPr>
                <w:b/>
                <w:bCs/>
                <w:iCs/>
                <w:sz w:val="20"/>
                <w:szCs w:val="20"/>
              </w:rPr>
            </w:pPr>
          </w:p>
          <w:p>
            <w:pPr>
              <w:overflowPunct w:val="0"/>
              <w:autoSpaceDE w:val="0"/>
              <w:autoSpaceDN w:val="0"/>
              <w:adjustRightInd w:val="0"/>
              <w:spacing w:after="180"/>
              <w:textAlignment w:val="baseline"/>
              <w:rPr>
                <w:b/>
                <w:bCs/>
                <w:iCs/>
                <w:sz w:val="20"/>
                <w:szCs w:val="20"/>
              </w:rPr>
            </w:pPr>
          </w:p>
          <w:p>
            <w:pPr>
              <w:pStyle w:val="4"/>
              <w:numPr>
                <w:ilvl w:val="0"/>
                <w:numId w:val="0"/>
              </w:numPr>
              <w:overflowPunct w:val="0"/>
              <w:autoSpaceDE w:val="0"/>
              <w:autoSpaceDN w:val="0"/>
              <w:adjustRightInd w:val="0"/>
              <w:spacing w:after="180"/>
              <w:ind w:left="1146" w:hanging="720"/>
              <w:textAlignment w:val="baseline"/>
              <w:rPr>
                <w:sz w:val="20"/>
                <w:szCs w:val="20"/>
              </w:rPr>
            </w:pPr>
            <w:r>
              <w:rPr>
                <w:sz w:val="20"/>
                <w:szCs w:val="20"/>
              </w:rPr>
              <w:t>4-</w:t>
            </w:r>
            <w:r>
              <w:rPr>
                <w:sz w:val="20"/>
                <w:szCs w:val="20"/>
              </w:rPr>
              <w:tab/>
            </w:r>
            <w:r>
              <w:rPr>
                <w:sz w:val="20"/>
                <w:szCs w:val="20"/>
              </w:rPr>
              <w:t>UE capability</w:t>
            </w:r>
          </w:p>
          <w:p>
            <w:pPr>
              <w:overflowPunct w:val="0"/>
              <w:autoSpaceDE w:val="0"/>
              <w:autoSpaceDN w:val="0"/>
              <w:adjustRightInd w:val="0"/>
              <w:spacing w:after="180"/>
              <w:ind w:firstLine="420"/>
              <w:textAlignment w:val="baseline"/>
              <w:rPr>
                <w:rFonts w:eastAsiaTheme="minorEastAsia"/>
                <w:b/>
                <w:bCs/>
                <w:iCs/>
                <w:sz w:val="20"/>
                <w:szCs w:val="20"/>
                <w:lang w:eastAsia="ja-JP"/>
              </w:rPr>
            </w:pPr>
            <w:r>
              <w:rPr>
                <w:rFonts w:eastAsiaTheme="minorEastAsia"/>
                <w:b/>
                <w:bCs/>
                <w:iCs/>
                <w:sz w:val="20"/>
                <w:szCs w:val="20"/>
                <w:lang w:eastAsia="ja-JP"/>
              </w:rPr>
              <w:t>Agreement:</w:t>
            </w:r>
          </w:p>
          <w:p>
            <w:pPr>
              <w:overflowPunct w:val="0"/>
              <w:autoSpaceDE w:val="0"/>
              <w:autoSpaceDN w:val="0"/>
              <w:adjustRightInd w:val="0"/>
              <w:spacing w:after="180"/>
              <w:ind w:left="420" w:firstLine="420"/>
              <w:textAlignment w:val="baseline"/>
              <w:rPr>
                <w:rFonts w:eastAsiaTheme="minorEastAsia"/>
                <w:iCs/>
                <w:sz w:val="20"/>
                <w:szCs w:val="20"/>
                <w:lang w:eastAsia="ja-JP"/>
              </w:rPr>
            </w:pPr>
            <w:r>
              <w:rPr>
                <w:rFonts w:eastAsiaTheme="minorEastAsia"/>
                <w:iCs/>
                <w:sz w:val="20"/>
                <w:szCs w:val="20"/>
                <w:lang w:eastAsia="ja-JP"/>
              </w:rPr>
              <w:t>A new UE capability will be specified to support the WI objectives</w:t>
            </w:r>
          </w:p>
          <w:p>
            <w:pPr>
              <w:overflowPunct w:val="0"/>
              <w:autoSpaceDE w:val="0"/>
              <w:autoSpaceDN w:val="0"/>
              <w:adjustRightInd w:val="0"/>
              <w:spacing w:after="180"/>
              <w:ind w:firstLine="420"/>
              <w:textAlignment w:val="baseline"/>
              <w:rPr>
                <w:iCs/>
                <w:sz w:val="20"/>
                <w:szCs w:val="20"/>
              </w:rPr>
            </w:pPr>
            <w:r>
              <w:rPr>
                <w:b/>
                <w:bCs/>
                <w:iCs/>
                <w:sz w:val="20"/>
                <w:szCs w:val="20"/>
              </w:rPr>
              <w:t>Open issues:</w:t>
            </w:r>
          </w:p>
          <w:p>
            <w:pPr>
              <w:overflowPunct w:val="0"/>
              <w:autoSpaceDE w:val="0"/>
              <w:autoSpaceDN w:val="0"/>
              <w:adjustRightInd w:val="0"/>
              <w:spacing w:after="180"/>
              <w:ind w:left="420" w:firstLine="420"/>
              <w:textAlignment w:val="baseline"/>
              <w:rPr>
                <w:iCs/>
                <w:sz w:val="20"/>
                <w:szCs w:val="20"/>
              </w:rPr>
            </w:pPr>
            <w:r>
              <w:rPr>
                <w:iCs/>
                <w:sz w:val="20"/>
                <w:szCs w:val="20"/>
              </w:rPr>
              <w:t>The new UE capability should be per band.</w:t>
            </w:r>
          </w:p>
          <w:p>
            <w:pPr>
              <w:overflowPunct w:val="0"/>
              <w:autoSpaceDE w:val="0"/>
              <w:autoSpaceDN w:val="0"/>
              <w:adjustRightInd w:val="0"/>
              <w:spacing w:after="180"/>
              <w:ind w:left="420" w:firstLine="420"/>
              <w:textAlignment w:val="baseline"/>
              <w:rPr>
                <w:iCs/>
                <w:sz w:val="20"/>
                <w:szCs w:val="20"/>
              </w:rPr>
            </w:pPr>
            <w:r>
              <w:rPr>
                <w:iCs/>
                <w:sz w:val="20"/>
                <w:szCs w:val="20"/>
              </w:rPr>
              <w:t>FFS from which release should the UE capability be applicable.</w:t>
            </w:r>
          </w:p>
          <w:p>
            <w:pPr>
              <w:overflowPunct w:val="0"/>
              <w:autoSpaceDE w:val="0"/>
              <w:autoSpaceDN w:val="0"/>
              <w:adjustRightInd w:val="0"/>
              <w:spacing w:after="180"/>
              <w:ind w:left="420" w:firstLine="420"/>
              <w:textAlignment w:val="baseline"/>
              <w:rPr>
                <w:rFonts w:hint="default"/>
                <w:i w:val="0"/>
                <w:iCs w:val="0"/>
                <w:sz w:val="20"/>
                <w:szCs w:val="20"/>
                <w:vertAlign w:val="baseline"/>
                <w:lang w:val="en-US" w:eastAsia="zh-CN"/>
              </w:rPr>
            </w:pPr>
            <w:r>
              <w:rPr>
                <w:iCs/>
                <w:sz w:val="20"/>
                <w:szCs w:val="20"/>
              </w:rPr>
              <w:t>Whether the capability should (at least for some bands) be mandatory from Rel-18 onwards.</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i w:val="0"/>
          <w:iCs w:val="0"/>
          <w:sz w:val="20"/>
          <w:szCs w:val="20"/>
          <w:lang w:val="en-US" w:eastAsia="zh-CN"/>
        </w:rPr>
        <w:t xml:space="preserve">Above is way forward[2] for RAN4 #108 meeting. For approach 1, it needs to introduce a UE capability of supporting enhanced channel raster. For approach 2, to resolve the issue of locating a UE specific channel bandwidth with even/odd PRBs within a wider SIB1 carrierBandwidth with odd/even PRBs, a new UE capability of allowing UE specific channel bandwidth off 100 kHz channel raster should be introduced.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As specified in WID, the change is to be release independent from the identified release. To increase configuration flexibility and avoid NBC issue, this UE capability shall be optional in R17. It</w:t>
      </w:r>
      <w:r>
        <w:rPr>
          <w:rFonts w:hint="default"/>
          <w:i w:val="0"/>
          <w:iCs w:val="0"/>
          <w:sz w:val="20"/>
          <w:szCs w:val="20"/>
          <w:lang w:val="en-US" w:eastAsia="zh-CN"/>
        </w:rPr>
        <w:t>’</w:t>
      </w:r>
      <w:r>
        <w:rPr>
          <w:rFonts w:hint="eastAsia"/>
          <w:i w:val="0"/>
          <w:iCs w:val="0"/>
          <w:sz w:val="20"/>
          <w:szCs w:val="20"/>
          <w:lang w:val="en-US" w:eastAsia="zh-CN"/>
        </w:rPr>
        <w:t>s better to be mandatory from Rel-18.</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Proposal 1: </w:t>
      </w:r>
      <w:bookmarkEnd w:id="2"/>
      <w:bookmarkStart w:id="5" w:name="OLE_LINK24"/>
      <w:bookmarkStart w:id="6" w:name="OLE_LINK28"/>
      <w:r>
        <w:rPr>
          <w:rFonts w:hint="eastAsia"/>
          <w:b/>
          <w:bCs/>
          <w:i/>
          <w:iCs/>
          <w:sz w:val="20"/>
          <w:szCs w:val="20"/>
          <w:lang w:val="en-US" w:eastAsia="zh-CN"/>
        </w:rPr>
        <w:t>To increase configuration flexibility and avoid NBC issue, this UE capability shall be optional in R17. It</w:t>
      </w:r>
      <w:r>
        <w:rPr>
          <w:rFonts w:hint="default"/>
          <w:b/>
          <w:bCs/>
          <w:i/>
          <w:iCs/>
          <w:sz w:val="20"/>
          <w:szCs w:val="20"/>
          <w:lang w:val="en-US" w:eastAsia="zh-CN"/>
        </w:rPr>
        <w:t>’</w:t>
      </w:r>
      <w:r>
        <w:rPr>
          <w:rFonts w:hint="eastAsia"/>
          <w:b/>
          <w:bCs/>
          <w:i/>
          <w:iCs/>
          <w:sz w:val="20"/>
          <w:szCs w:val="20"/>
          <w:lang w:val="en-US" w:eastAsia="zh-CN"/>
        </w:rPr>
        <w:t>s better to be mandatory from Rel-18.</w:t>
      </w:r>
    </w:p>
    <w:bookmarkEnd w:id="3"/>
    <w:bookmarkEnd w:id="4"/>
    <w:bookmarkEnd w:id="5"/>
    <w:bookmarkEnd w:id="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UE capability</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and</w:t>
      </w:r>
      <w:r>
        <w:rPr>
          <w:rFonts w:hint="eastAsia" w:ascii="Times New Roman" w:hAnsi="Times New Roman" w:eastAsia="宋体" w:cs="Times New Roman"/>
          <w:b w:val="0"/>
          <w:bCs w:val="0"/>
          <w:kern w:val="0"/>
          <w:sz w:val="20"/>
          <w:szCs w:val="20"/>
          <w:highlight w:val="none"/>
          <w:lang w:val="en-US" w:eastAsia="zh-CN" w:bidi="ar-SA"/>
        </w:rPr>
        <w:t xml:space="preserve"> proposals are made as following:</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Times New Roman"/>
          <w:b w:val="0"/>
          <w:bCs w:val="0"/>
          <w:kern w:val="0"/>
          <w:sz w:val="20"/>
          <w:szCs w:val="20"/>
          <w:highlight w:val="none"/>
          <w:lang w:val="en-US" w:eastAsia="zh-CN" w:bidi="ar-SA"/>
        </w:rPr>
      </w:pPr>
      <w:r>
        <w:rPr>
          <w:rFonts w:hint="eastAsia"/>
          <w:b/>
          <w:bCs/>
          <w:i/>
          <w:iCs/>
          <w:sz w:val="20"/>
          <w:szCs w:val="20"/>
          <w:lang w:val="en-US" w:eastAsia="zh-CN"/>
        </w:rPr>
        <w:t>Proposal 1: To increase configuration flexibility and avoid NBC issue, this UE capability shall be optional in R17. It</w:t>
      </w:r>
      <w:r>
        <w:rPr>
          <w:rFonts w:hint="default"/>
          <w:b/>
          <w:bCs/>
          <w:i/>
          <w:iCs/>
          <w:sz w:val="20"/>
          <w:szCs w:val="20"/>
          <w:lang w:val="en-US" w:eastAsia="zh-CN"/>
        </w:rPr>
        <w:t>’</w:t>
      </w:r>
      <w:r>
        <w:rPr>
          <w:rFonts w:hint="eastAsia"/>
          <w:b/>
          <w:bCs/>
          <w:i/>
          <w:iCs/>
          <w:sz w:val="20"/>
          <w:szCs w:val="20"/>
          <w:lang w:val="en-US" w:eastAsia="zh-CN"/>
        </w:rPr>
        <w:t>s better to be mandatory from Rel-18.</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RP-231469, </w:t>
      </w:r>
      <w:r>
        <w:rPr>
          <w:rFonts w:hint="default"/>
          <w:sz w:val="20"/>
          <w:szCs w:val="20"/>
          <w:lang w:val="en-US" w:eastAsia="zh-CN"/>
        </w:rPr>
        <w:t>“</w:t>
      </w:r>
      <w:r>
        <w:rPr>
          <w:rFonts w:hint="eastAsia"/>
          <w:sz w:val="20"/>
          <w:szCs w:val="20"/>
          <w:lang w:val="en-US" w:eastAsia="zh-CN"/>
        </w:rPr>
        <w:t>Revised WID: Channel raster enhancement</w:t>
      </w:r>
      <w:r>
        <w:rPr>
          <w:rFonts w:hint="default"/>
          <w:sz w:val="20"/>
          <w:szCs w:val="20"/>
          <w:lang w:val="en-US" w:eastAsia="zh-CN"/>
        </w:rPr>
        <w:t>”</w:t>
      </w:r>
      <w:r>
        <w:rPr>
          <w:rFonts w:hint="eastAsia"/>
          <w:sz w:val="20"/>
          <w:szCs w:val="20"/>
          <w:lang w:val="en-US" w:eastAsia="zh-CN"/>
        </w:rPr>
        <w:t>, Ericsson</w:t>
      </w:r>
    </w:p>
    <w:p>
      <w:pPr>
        <w:keepNext w:val="0"/>
        <w:keepLines w:val="0"/>
        <w:pageBreakBefore w:val="0"/>
        <w:widowControl w:val="0"/>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default"/>
          <w:sz w:val="20"/>
          <w:szCs w:val="20"/>
          <w:lang w:val="en-US" w:eastAsia="zh-CN"/>
        </w:rPr>
        <w:t>R4-231</w:t>
      </w:r>
      <w:r>
        <w:rPr>
          <w:rFonts w:hint="eastAsia"/>
          <w:sz w:val="20"/>
          <w:szCs w:val="20"/>
          <w:lang w:val="en-US" w:eastAsia="zh-CN"/>
        </w:rPr>
        <w:t xml:space="preserve">4681, </w:t>
      </w:r>
      <w:r>
        <w:rPr>
          <w:rFonts w:hint="default"/>
          <w:sz w:val="20"/>
          <w:szCs w:val="20"/>
          <w:lang w:val="en-US" w:eastAsia="zh-CN"/>
        </w:rPr>
        <w:t>“Discussion on UE and BS channel raster”</w:t>
      </w:r>
      <w:r>
        <w:rPr>
          <w:rFonts w:hint="eastAsia"/>
          <w:sz w:val="20"/>
          <w:szCs w:val="20"/>
          <w:lang w:val="en-US" w:eastAsia="zh-CN"/>
        </w:rPr>
        <w:t>, ZTE Corporation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50C303F"/>
    <w:multiLevelType w:val="multilevel"/>
    <w:tmpl w:val="150C303F"/>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4">
    <w:nsid w:val="16852C91"/>
    <w:multiLevelType w:val="multilevel"/>
    <w:tmpl w:val="16852C9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decimal"/>
      <w:lvlText w:val="%3-"/>
      <w:lvlJc w:val="left"/>
      <w:pPr>
        <w:ind w:left="2376" w:hanging="360"/>
      </w:pPr>
      <w:rPr>
        <w:rFonts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AFF315F"/>
    <w:multiLevelType w:val="multilevel"/>
    <w:tmpl w:val="2AFF315F"/>
    <w:lvl w:ilvl="0" w:tentative="0">
      <w:start w:val="1"/>
      <w:numFmt w:val="decimal"/>
      <w:lvlText w:val="%1-"/>
      <w:lvlJc w:val="left"/>
      <w:pPr>
        <w:ind w:left="2460" w:hanging="360"/>
      </w:pPr>
      <w:rPr>
        <w:rFonts w:hint="default"/>
      </w:rPr>
    </w:lvl>
    <w:lvl w:ilvl="1" w:tentative="0">
      <w:start w:val="1"/>
      <w:numFmt w:val="lowerLetter"/>
      <w:lvlText w:val="%2."/>
      <w:lvlJc w:val="left"/>
      <w:pPr>
        <w:ind w:left="3180" w:hanging="360"/>
      </w:pPr>
    </w:lvl>
    <w:lvl w:ilvl="2" w:tentative="0">
      <w:start w:val="1"/>
      <w:numFmt w:val="lowerRoman"/>
      <w:lvlText w:val="%3."/>
      <w:lvlJc w:val="right"/>
      <w:pPr>
        <w:ind w:left="3900" w:hanging="180"/>
      </w:pPr>
    </w:lvl>
    <w:lvl w:ilvl="3" w:tentative="0">
      <w:start w:val="1"/>
      <w:numFmt w:val="decimal"/>
      <w:lvlText w:val="%4."/>
      <w:lvlJc w:val="left"/>
      <w:pPr>
        <w:ind w:left="4620" w:hanging="360"/>
      </w:pPr>
    </w:lvl>
    <w:lvl w:ilvl="4" w:tentative="0">
      <w:start w:val="1"/>
      <w:numFmt w:val="lowerLetter"/>
      <w:lvlText w:val="%5."/>
      <w:lvlJc w:val="left"/>
      <w:pPr>
        <w:ind w:left="5340" w:hanging="360"/>
      </w:pPr>
    </w:lvl>
    <w:lvl w:ilvl="5" w:tentative="0">
      <w:start w:val="1"/>
      <w:numFmt w:val="lowerRoman"/>
      <w:lvlText w:val="%6."/>
      <w:lvlJc w:val="right"/>
      <w:pPr>
        <w:ind w:left="6060" w:hanging="180"/>
      </w:pPr>
    </w:lvl>
    <w:lvl w:ilvl="6" w:tentative="0">
      <w:start w:val="1"/>
      <w:numFmt w:val="decimal"/>
      <w:lvlText w:val="%7."/>
      <w:lvlJc w:val="left"/>
      <w:pPr>
        <w:ind w:left="6780" w:hanging="360"/>
      </w:pPr>
    </w:lvl>
    <w:lvl w:ilvl="7" w:tentative="0">
      <w:start w:val="1"/>
      <w:numFmt w:val="lowerLetter"/>
      <w:lvlText w:val="%8."/>
      <w:lvlJc w:val="left"/>
      <w:pPr>
        <w:ind w:left="7500" w:hanging="360"/>
      </w:pPr>
    </w:lvl>
    <w:lvl w:ilvl="8" w:tentative="0">
      <w:start w:val="1"/>
      <w:numFmt w:val="lowerRoman"/>
      <w:lvlText w:val="%9."/>
      <w:lvlJc w:val="right"/>
      <w:pPr>
        <w:ind w:left="8220" w:hanging="180"/>
      </w:pPr>
    </w:lvl>
  </w:abstractNum>
  <w:abstractNum w:abstractNumId="7">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7BA0C7C"/>
    <w:multiLevelType w:val="multilevel"/>
    <w:tmpl w:val="37BA0C7C"/>
    <w:lvl w:ilvl="0" w:tentative="0">
      <w:start w:val="1"/>
      <w:numFmt w:val="lowerLetter"/>
      <w:lvlText w:val="%1)"/>
      <w:lvlJc w:val="left"/>
      <w:pPr>
        <w:ind w:left="2376"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3816" w:hanging="180"/>
      </w:pPr>
    </w:lvl>
    <w:lvl w:ilvl="3" w:tentative="0">
      <w:start w:val="1"/>
      <w:numFmt w:val="decimal"/>
      <w:lvlText w:val="%4."/>
      <w:lvlJc w:val="left"/>
      <w:pPr>
        <w:ind w:left="4536" w:hanging="360"/>
      </w:pPr>
    </w:lvl>
    <w:lvl w:ilvl="4" w:tentative="0">
      <w:start w:val="1"/>
      <w:numFmt w:val="lowerLetter"/>
      <w:lvlText w:val="%5."/>
      <w:lvlJc w:val="left"/>
      <w:pPr>
        <w:ind w:left="5256" w:hanging="360"/>
      </w:pPr>
    </w:lvl>
    <w:lvl w:ilvl="5" w:tentative="0">
      <w:start w:val="1"/>
      <w:numFmt w:val="lowerRoman"/>
      <w:lvlText w:val="%6."/>
      <w:lvlJc w:val="right"/>
      <w:pPr>
        <w:ind w:left="5976" w:hanging="180"/>
      </w:pPr>
    </w:lvl>
    <w:lvl w:ilvl="6" w:tentative="0">
      <w:start w:val="1"/>
      <w:numFmt w:val="decimal"/>
      <w:lvlText w:val="%7."/>
      <w:lvlJc w:val="left"/>
      <w:pPr>
        <w:ind w:left="6696" w:hanging="360"/>
      </w:pPr>
    </w:lvl>
    <w:lvl w:ilvl="7" w:tentative="0">
      <w:start w:val="1"/>
      <w:numFmt w:val="lowerLetter"/>
      <w:lvlText w:val="%8."/>
      <w:lvlJc w:val="left"/>
      <w:pPr>
        <w:ind w:left="7416" w:hanging="360"/>
      </w:pPr>
    </w:lvl>
    <w:lvl w:ilvl="8" w:tentative="0">
      <w:start w:val="1"/>
      <w:numFmt w:val="lowerRoman"/>
      <w:lvlText w:val="%9."/>
      <w:lvlJc w:val="right"/>
      <w:pPr>
        <w:ind w:left="8136" w:hanging="180"/>
      </w:pPr>
    </w:lvl>
  </w:abstractNum>
  <w:abstractNum w:abstractNumId="9">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0">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decimal"/>
      <w:lvlText w:val="%2-"/>
      <w:lvlJc w:val="left"/>
      <w:pPr>
        <w:ind w:left="1656" w:hanging="360"/>
      </w:pPr>
      <w:rPr>
        <w:rFonts w:ascii="Times New Roman" w:hAnsi="Times New Roman" w:eastAsia="宋体" w:cs="Times New Roma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5F723A5E"/>
    <w:multiLevelType w:val="singleLevel"/>
    <w:tmpl w:val="5F723A5E"/>
    <w:lvl w:ilvl="0" w:tentative="0">
      <w:start w:val="1"/>
      <w:numFmt w:val="decimal"/>
      <w:suff w:val="space"/>
      <w:lvlText w:val="[%1]"/>
      <w:lvlJc w:val="left"/>
    </w:lvl>
  </w:abstractNum>
  <w:abstractNum w:abstractNumId="15">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6">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5"/>
  </w:num>
  <w:num w:numId="3">
    <w:abstractNumId w:val="13"/>
  </w:num>
  <w:num w:numId="4">
    <w:abstractNumId w:val="7"/>
  </w:num>
  <w:num w:numId="5">
    <w:abstractNumId w:val="9"/>
  </w:num>
  <w:num w:numId="6">
    <w:abstractNumId w:val="1"/>
  </w:num>
  <w:num w:numId="7">
    <w:abstractNumId w:val="0"/>
  </w:num>
  <w:num w:numId="8">
    <w:abstractNumId w:val="10"/>
  </w:num>
  <w:num w:numId="9">
    <w:abstractNumId w:val="5"/>
  </w:num>
  <w:num w:numId="10">
    <w:abstractNumId w:val="16"/>
  </w:num>
  <w:num w:numId="11">
    <w:abstractNumId w:val="11"/>
  </w:num>
  <w:num w:numId="12">
    <w:abstractNumId w:val="3"/>
  </w:num>
  <w:num w:numId="13">
    <w:abstractNumId w:val="12"/>
  </w:num>
  <w:num w:numId="14">
    <w:abstractNumId w:val="4"/>
  </w:num>
  <w:num w:numId="15">
    <w:abstractNumId w:val="6"/>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3F3FD3"/>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33AE4"/>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7C0E60"/>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64DDB"/>
    <w:rsid w:val="0E2F216B"/>
    <w:rsid w:val="0E3352C6"/>
    <w:rsid w:val="0E3A5EE2"/>
    <w:rsid w:val="0E542F3B"/>
    <w:rsid w:val="0E5757F7"/>
    <w:rsid w:val="0E6271DF"/>
    <w:rsid w:val="0E81568A"/>
    <w:rsid w:val="0E903E3B"/>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0FFF0BF3"/>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5D7538"/>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2A6617"/>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B7668"/>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61E16"/>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17F"/>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3370DF"/>
    <w:rsid w:val="5F683B6E"/>
    <w:rsid w:val="5F684490"/>
    <w:rsid w:val="5F6D06D6"/>
    <w:rsid w:val="5F6E768C"/>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7C40AC"/>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4685D"/>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20F6D"/>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BF43E3"/>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36BD6"/>
    <w:rsid w:val="7CDE3831"/>
    <w:rsid w:val="7CE656F0"/>
    <w:rsid w:val="7CED34FF"/>
    <w:rsid w:val="7CEE5458"/>
    <w:rsid w:val="7CF26588"/>
    <w:rsid w:val="7CF565D7"/>
    <w:rsid w:val="7CF867A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2023-09-27T09:06:43Z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13BFEA876C9340E6956A2DAF3D02A14B</vt:lpwstr>
  </property>
</Properties>
</file>